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A0C" w:rsidRDefault="00726A0C" w:rsidP="00726A0C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726A0C" w:rsidRDefault="00726A0C" w:rsidP="00726A0C">
      <w:pPr>
        <w:spacing w:after="60"/>
        <w:jc w:val="center"/>
        <w:rPr>
          <w:rFonts w:ascii="Times New Roman" w:hAnsi="Times New Roman"/>
        </w:rPr>
      </w:pPr>
    </w:p>
    <w:p w:rsidR="00726A0C" w:rsidRDefault="00726A0C" w:rsidP="00726A0C">
      <w:pPr>
        <w:spacing w:after="60"/>
        <w:jc w:val="center"/>
        <w:rPr>
          <w:rFonts w:ascii="Times New Roman" w:hAnsi="Times New Roman"/>
        </w:rPr>
      </w:pPr>
    </w:p>
    <w:p w:rsidR="00726A0C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p w:rsidR="00726A0C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p w:rsidR="00726A0C" w:rsidRPr="00A5284A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04"/>
        <w:gridCol w:w="237"/>
        <w:gridCol w:w="272"/>
        <w:gridCol w:w="106"/>
        <w:gridCol w:w="918"/>
        <w:gridCol w:w="689"/>
        <w:gridCol w:w="249"/>
        <w:gridCol w:w="112"/>
        <w:gridCol w:w="1145"/>
        <w:gridCol w:w="480"/>
        <w:gridCol w:w="215"/>
        <w:gridCol w:w="1535"/>
        <w:gridCol w:w="393"/>
        <w:gridCol w:w="1496"/>
      </w:tblGrid>
      <w:tr w:rsidR="00726A0C" w:rsidRPr="00491993" w:rsidTr="00AE089C">
        <w:trPr>
          <w:trHeight w:val="427"/>
        </w:trPr>
        <w:tc>
          <w:tcPr>
            <w:tcW w:w="5938" w:type="dxa"/>
            <w:gridSpan w:val="8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Драгана Вукићевић</w:t>
            </w:r>
          </w:p>
        </w:tc>
      </w:tr>
      <w:tr w:rsidR="00726A0C" w:rsidRPr="00491993" w:rsidTr="00AE089C">
        <w:trPr>
          <w:trHeight w:val="427"/>
        </w:trPr>
        <w:tc>
          <w:tcPr>
            <w:tcW w:w="5938" w:type="dxa"/>
            <w:gridSpan w:val="8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726A0C" w:rsidRPr="00491993" w:rsidTr="00AE089C">
        <w:trPr>
          <w:trHeight w:val="427"/>
        </w:trPr>
        <w:tc>
          <w:tcPr>
            <w:tcW w:w="5938" w:type="dxa"/>
            <w:gridSpan w:val="8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Филолошки факултет Универзитета у Београду</w:t>
            </w:r>
          </w:p>
        </w:tc>
      </w:tr>
      <w:tr w:rsidR="00726A0C" w:rsidRPr="00491993" w:rsidTr="00AE089C">
        <w:trPr>
          <w:trHeight w:val="427"/>
        </w:trPr>
        <w:tc>
          <w:tcPr>
            <w:tcW w:w="5938" w:type="dxa"/>
            <w:gridSpan w:val="8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Српска књижевност</w:t>
            </w:r>
          </w:p>
        </w:tc>
      </w:tr>
      <w:tr w:rsidR="00726A0C" w:rsidRPr="00491993" w:rsidTr="00AE089C">
        <w:trPr>
          <w:trHeight w:val="427"/>
        </w:trPr>
        <w:tc>
          <w:tcPr>
            <w:tcW w:w="13968" w:type="dxa"/>
            <w:gridSpan w:val="15"/>
            <w:vAlign w:val="center"/>
          </w:tcPr>
          <w:p w:rsidR="00726A0C" w:rsidRPr="009B29A2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AC0E94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Филолошки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Српска књижевност</w:t>
            </w: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Филолошки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Српска књижевност</w:t>
            </w: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Филолошки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Српска књижевност</w:t>
            </w: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AC0E94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C1139" w:rsidRPr="00491993" w:rsidTr="00AE089C">
        <w:trPr>
          <w:trHeight w:val="427"/>
        </w:trPr>
        <w:tc>
          <w:tcPr>
            <w:tcW w:w="2913" w:type="dxa"/>
            <w:gridSpan w:val="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1990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Филолошки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Српска књижевност</w:t>
            </w:r>
          </w:p>
        </w:tc>
      </w:tr>
      <w:tr w:rsidR="00726A0C" w:rsidRPr="00491993" w:rsidTr="00AE089C">
        <w:trPr>
          <w:trHeight w:val="427"/>
        </w:trPr>
        <w:tc>
          <w:tcPr>
            <w:tcW w:w="13968" w:type="dxa"/>
            <w:gridSpan w:val="15"/>
            <w:vAlign w:val="center"/>
          </w:tcPr>
          <w:p w:rsidR="00726A0C" w:rsidRPr="00AC0E94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AC1139" w:rsidRPr="00491993" w:rsidTr="00AE089C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726A0C" w:rsidRPr="00AC0E94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726A0C" w:rsidRPr="00AC0E94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726A0C" w:rsidRPr="00AC0E94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AC1139" w:rsidRPr="00491993" w:rsidTr="00AE089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726A0C" w:rsidRPr="00491993" w:rsidRDefault="00AC1139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1406008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726A0C" w:rsidRPr="00491993" w:rsidRDefault="00AC1139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Поетика српског реализма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726A0C" w:rsidRPr="00491993" w:rsidRDefault="00AC1139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Предавања/вежбе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и књижевност и језик</w:t>
            </w:r>
            <w:r w:rsidR="00AC11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компаратистиком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C1139" w:rsidRPr="00491993" w:rsidTr="00AE089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2.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726A0C" w:rsidRPr="00491993" w:rsidRDefault="00726A0C" w:rsidP="00AC11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AC1139">
              <w:rPr>
                <w:rFonts w:ascii="Times New Roman" w:hAnsi="Times New Roman"/>
                <w:sz w:val="20"/>
                <w:szCs w:val="20"/>
                <w:lang w:val="sr-Cyrl-CS"/>
              </w:rPr>
              <w:t>406017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726A0C" w:rsidRPr="00491993" w:rsidRDefault="00AC1139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Генеза прозних облика у новој српској књижевности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726A0C" w:rsidRPr="00491993" w:rsidRDefault="00AC1139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са компаратистиком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C1139" w:rsidRPr="00491993" w:rsidTr="00AE089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26A0C" w:rsidRPr="00491993" w:rsidRDefault="00AC1139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1405558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Књижевност и етнологија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 са компаратистиком; Српска књижевност и језик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C1139" w:rsidRPr="00491993" w:rsidTr="00AE089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1405503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Историја читања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Српска књижевност и језик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AC1139" w:rsidRPr="00491993" w:rsidTr="00AE089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726A0C" w:rsidRPr="00491993" w:rsidRDefault="00A360A4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6A0C" w:rsidRPr="00491993" w:rsidTr="00AE089C">
        <w:trPr>
          <w:trHeight w:val="427"/>
        </w:trPr>
        <w:tc>
          <w:tcPr>
            <w:tcW w:w="13968" w:type="dxa"/>
            <w:gridSpan w:val="1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491993" w:rsidRDefault="00303B7A" w:rsidP="00A360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sz w:val="23"/>
                <w:szCs w:val="23"/>
              </w:rPr>
              <w:t xml:space="preserve">Драгана Вукићевић, Снежана Милосављевић Милић, </w:t>
            </w:r>
            <w:r>
              <w:rPr>
                <w:i/>
                <w:iCs/>
                <w:sz w:val="23"/>
                <w:szCs w:val="23"/>
              </w:rPr>
              <w:t>Огледавања – Лаза Лазаревић и Симо Матавуљ</w:t>
            </w:r>
            <w:r>
              <w:rPr>
                <w:sz w:val="23"/>
                <w:szCs w:val="23"/>
              </w:rPr>
              <w:t>, Ниш, Филозофски факултет, 2014. – 392. стр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491993" w:rsidRDefault="00303B7A" w:rsidP="00303B7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Ка поетици српског реализма / Душан Иванић, Драгана Вукићевић. – Београд : Завод за уџбенике, 2007. – 445 стр. ; 24 цм Тираж 1.000. – Библиографија: стр. 434. – Регистар.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491993" w:rsidRDefault="00303B7A" w:rsidP="00303B7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Анархија текста: огледи о српској књижевности 19. века, Београд, Службени гласник, 2011. – 207 стр.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491993" w:rsidRDefault="00303B7A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sz w:val="23"/>
                <w:szCs w:val="23"/>
              </w:rPr>
              <w:t>Нушић приповедач. – Приказ: Горан Максимовић, Умјетност приповиједања Бранислава Нушића, Београд, 1995. У: Књижевна историја. – Год. 29, бр. 102 (1997), стр. 267–269.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491993" w:rsidRDefault="00303B7A" w:rsidP="00A360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sz w:val="23"/>
                <w:szCs w:val="23"/>
              </w:rPr>
              <w:t>Поетика читања – критика прозе 1868–1901. У: Књижевна историја. – Год. 30, бр. 104, (1998), стр. 47–59.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E11473" w:rsidRDefault="00303B7A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sz w:val="23"/>
                <w:szCs w:val="23"/>
              </w:rPr>
              <w:t>Књижевнокритичке теме у делу Радоја Домановића. У: Зборник Матице српске за књижевност и језик. – Год. 98, св. 2–3 (2000), стр. 234–249.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E11473" w:rsidRDefault="00303B7A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sz w:val="23"/>
                <w:szCs w:val="23"/>
              </w:rPr>
              <w:t>Против страсти и других демона (просветитељска парадигма страсти), У: Научни састанак слависта у Вукове дане, 41/2, Београд, 2012, 793-804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E11473" w:rsidRDefault="00303B7A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sz w:val="23"/>
                <w:szCs w:val="23"/>
              </w:rPr>
              <w:t>Поглед на гледање искоса Саве Дамјанова: Сава Дамјано:Српска књижевност искоса 1-5, Слижбени гласник, 2011-2012) У: Књижевна историја 44, 2012, 148, стр. 843-851.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E11473" w:rsidRDefault="00303B7A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sz w:val="23"/>
                <w:szCs w:val="23"/>
              </w:rPr>
              <w:t>Етнолошка интерпретација књижевног текста – могућности етнолошког декодирања реалистичког сижеа. – Напомене уз текст. – Summary. У: Књижевност и језик. – Год. 52, бр. 3–4 (2005), стр. 271–284.</w:t>
            </w:r>
          </w:p>
        </w:tc>
      </w:tr>
      <w:tr w:rsidR="00726A0C" w:rsidRPr="00491993" w:rsidTr="00AE089C">
        <w:trPr>
          <w:trHeight w:val="427"/>
        </w:trPr>
        <w:tc>
          <w:tcPr>
            <w:tcW w:w="1699" w:type="dxa"/>
            <w:gridSpan w:val="2"/>
            <w:vAlign w:val="center"/>
          </w:tcPr>
          <w:p w:rsidR="00726A0C" w:rsidRPr="00491993" w:rsidRDefault="00726A0C" w:rsidP="00AE08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26A0C" w:rsidRPr="00E11473" w:rsidRDefault="00303B7A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sz w:val="23"/>
                <w:szCs w:val="23"/>
              </w:rPr>
              <w:t>У потрази за реалистичком мотивацијом. У: Књижевност и језик. – Год. 52, бр.1–2 (2005), стр. 157–171.</w:t>
            </w:r>
          </w:p>
        </w:tc>
      </w:tr>
      <w:tr w:rsidR="00726A0C" w:rsidRPr="00491993" w:rsidTr="00AE089C">
        <w:trPr>
          <w:trHeight w:val="427"/>
        </w:trPr>
        <w:tc>
          <w:tcPr>
            <w:tcW w:w="13968" w:type="dxa"/>
            <w:gridSpan w:val="1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26A0C" w:rsidRPr="00491993" w:rsidTr="00AE089C">
        <w:trPr>
          <w:trHeight w:val="427"/>
        </w:trPr>
        <w:tc>
          <w:tcPr>
            <w:tcW w:w="5511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6A0C" w:rsidRPr="00491993" w:rsidTr="00AE089C">
        <w:trPr>
          <w:trHeight w:val="427"/>
        </w:trPr>
        <w:tc>
          <w:tcPr>
            <w:tcW w:w="5511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6A0C" w:rsidRPr="00491993" w:rsidTr="00AE089C">
        <w:trPr>
          <w:trHeight w:val="278"/>
        </w:trPr>
        <w:tc>
          <w:tcPr>
            <w:tcW w:w="5511" w:type="dxa"/>
            <w:gridSpan w:val="7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726A0C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5694" w:type="dxa"/>
            <w:gridSpan w:val="4"/>
            <w:vAlign w:val="center"/>
          </w:tcPr>
          <w:p w:rsidR="00726A0C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6A0C" w:rsidRPr="00491993" w:rsidTr="00AE089C">
        <w:trPr>
          <w:trHeight w:val="427"/>
        </w:trPr>
        <w:tc>
          <w:tcPr>
            <w:tcW w:w="2723" w:type="dxa"/>
            <w:gridSpan w:val="4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6A0C" w:rsidRPr="00491993" w:rsidTr="00AE089C">
        <w:trPr>
          <w:trHeight w:val="427"/>
        </w:trPr>
        <w:tc>
          <w:tcPr>
            <w:tcW w:w="13968" w:type="dxa"/>
            <w:gridSpan w:val="15"/>
            <w:vAlign w:val="center"/>
          </w:tcPr>
          <w:p w:rsidR="00726A0C" w:rsidRPr="00220AB0" w:rsidRDefault="00726A0C" w:rsidP="00AE089C">
            <w:pPr>
              <w:widowControl w:val="0"/>
              <w:autoSpaceDE w:val="0"/>
              <w:autoSpaceDN w:val="0"/>
              <w:adjustRightInd w:val="0"/>
              <w:spacing w:after="60"/>
              <w:ind w:left="720"/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:rsidR="00726A0C" w:rsidRPr="00220AB0" w:rsidRDefault="00726A0C" w:rsidP="00AE089C">
            <w:pPr>
              <w:widowControl w:val="0"/>
              <w:autoSpaceDE w:val="0"/>
              <w:autoSpaceDN w:val="0"/>
              <w:adjustRightInd w:val="0"/>
              <w:spacing w:after="60"/>
              <w:ind w:left="720"/>
            </w:pPr>
          </w:p>
          <w:p w:rsidR="00726A0C" w:rsidRPr="00220AB0" w:rsidRDefault="00726A0C" w:rsidP="00AE089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/>
            </w:pPr>
          </w:p>
        </w:tc>
      </w:tr>
      <w:tr w:rsidR="00726A0C" w:rsidRPr="00491993" w:rsidTr="00AE089C">
        <w:trPr>
          <w:trHeight w:val="427"/>
        </w:trPr>
        <w:tc>
          <w:tcPr>
            <w:tcW w:w="13968" w:type="dxa"/>
            <w:gridSpan w:val="15"/>
            <w:vAlign w:val="center"/>
          </w:tcPr>
          <w:p w:rsidR="00726A0C" w:rsidRPr="00491993" w:rsidRDefault="00726A0C" w:rsidP="00AE08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26A0C" w:rsidRPr="00491993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726A0C" w:rsidRPr="00491993" w:rsidRDefault="00726A0C" w:rsidP="00726A0C">
      <w:pPr>
        <w:rPr>
          <w:rFonts w:ascii="Times New Roman" w:hAnsi="Times New Roman"/>
          <w:b/>
          <w:sz w:val="20"/>
          <w:szCs w:val="20"/>
          <w:lang w:val="sr-Cyrl-CS"/>
        </w:rPr>
      </w:pPr>
      <w:r w:rsidRPr="00491993">
        <w:rPr>
          <w:rFonts w:ascii="Times New Roman" w:hAnsi="Times New Roman"/>
          <w:b/>
          <w:sz w:val="20"/>
          <w:szCs w:val="20"/>
          <w:lang w:val="sr-Cyrl-CS"/>
        </w:rPr>
        <w:t xml:space="preserve">Табела 9. 0. Укупни подаци о наставном особљу у установи </w:t>
      </w:r>
      <w:r w:rsidRPr="00491993">
        <w:rPr>
          <w:rFonts w:ascii="Times New Roman" w:hAnsi="Times New Roman"/>
          <w:b/>
          <w:sz w:val="20"/>
          <w:szCs w:val="20"/>
          <w:lang w:val="sr-Latn-RS"/>
        </w:rPr>
        <w:t>–</w:t>
      </w:r>
      <w:r w:rsidRPr="00491993">
        <w:rPr>
          <w:rFonts w:ascii="Times New Roman" w:hAnsi="Times New Roman"/>
          <w:b/>
          <w:smallCaps/>
          <w:sz w:val="20"/>
          <w:szCs w:val="20"/>
          <w:lang w:val="sr-Latn-RS"/>
        </w:rPr>
        <w:t xml:space="preserve"> ЕЛЕКТРОНСКИ ОБРАЗАЦ</w:t>
      </w:r>
      <w:r w:rsidRPr="00491993">
        <w:rPr>
          <w:rFonts w:ascii="Times New Roman" w:hAnsi="Times New Roman"/>
          <w:b/>
          <w:sz w:val="20"/>
          <w:szCs w:val="20"/>
          <w:lang w:val="sr-Cyrl-CS"/>
        </w:rPr>
        <w:t xml:space="preserve"> ( листа се формира приликом уноса података у електронски формулар, установа је обавезна да у ову табелу унесе све податке који се траже)</w:t>
      </w:r>
    </w:p>
    <w:p w:rsidR="00726A0C" w:rsidRPr="00491993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b/>
          <w:i/>
          <w:iCs/>
          <w:color w:val="FF0000"/>
          <w:sz w:val="20"/>
          <w:szCs w:val="20"/>
        </w:rPr>
      </w:pPr>
    </w:p>
    <w:p w:rsidR="00726A0C" w:rsidRPr="00491993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b/>
          <w:i/>
          <w:iCs/>
          <w:color w:val="FF0000"/>
          <w:sz w:val="20"/>
          <w:szCs w:val="20"/>
        </w:rPr>
      </w:pPr>
    </w:p>
    <w:p w:rsidR="00726A0C" w:rsidRPr="00491993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491993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491993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726A0C" w:rsidRPr="00491993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</w:p>
    <w:p w:rsidR="00726A0C" w:rsidRPr="00A360A4" w:rsidRDefault="00726A0C" w:rsidP="00726A0C">
      <w:pPr>
        <w:tabs>
          <w:tab w:val="left" w:pos="567"/>
        </w:tabs>
        <w:spacing w:after="60"/>
        <w:jc w:val="both"/>
        <w:rPr>
          <w:rFonts w:ascii="Times New Roman" w:hAnsi="Times New Roman"/>
          <w:bCs/>
          <w:sz w:val="20"/>
          <w:szCs w:val="20"/>
          <w:lang w:val="sr-Cyrl-CS"/>
        </w:rPr>
      </w:pPr>
      <w:r w:rsidRPr="00491993">
        <w:rPr>
          <w:rFonts w:ascii="Times New Roman" w:hAnsi="Times New Roman"/>
          <w:bCs/>
          <w:sz w:val="20"/>
          <w:szCs w:val="20"/>
          <w:lang w:val="sr-Cyrl-CS"/>
        </w:rPr>
        <w:t xml:space="preserve">Опис квалификација треба дати за све наставнике који учествују у реализацији студијског програма а би се избегло понављање, опис квалификација се алтернативно може дати у оквиру </w:t>
      </w:r>
      <w:r w:rsidRPr="00491993">
        <w:rPr>
          <w:rFonts w:ascii="Times New Roman" w:hAnsi="Times New Roman"/>
          <w:b/>
          <w:sz w:val="20"/>
          <w:szCs w:val="20"/>
          <w:lang w:val="sr-Cyrl-CS"/>
        </w:rPr>
        <w:t xml:space="preserve">књиге наставника </w:t>
      </w:r>
      <w:r w:rsidRPr="00491993">
        <w:rPr>
          <w:rFonts w:ascii="Times New Roman" w:hAnsi="Times New Roman"/>
          <w:bCs/>
          <w:sz w:val="20"/>
          <w:szCs w:val="20"/>
          <w:lang w:val="sr-Cyrl-CS"/>
        </w:rPr>
        <w:t xml:space="preserve">урађене по овом узору за све наставнике високошколске установе. </w:t>
      </w:r>
      <w:r w:rsidR="00A360A4">
        <w:rPr>
          <w:rFonts w:ascii="Times New Roman" w:hAnsi="Times New Roman"/>
          <w:bCs/>
          <w:sz w:val="20"/>
          <w:szCs w:val="20"/>
          <w:lang w:val="sr-Cyrl-CS"/>
        </w:rPr>
        <w:t xml:space="preserve">Књига наставника у том случају </w:t>
      </w:r>
      <w:r w:rsidRPr="00491993">
        <w:rPr>
          <w:rFonts w:ascii="Times New Roman" w:hAnsi="Times New Roman"/>
          <w:bCs/>
          <w:sz w:val="20"/>
          <w:szCs w:val="20"/>
          <w:lang w:val="sr-Cyrl-CS"/>
        </w:rPr>
        <w:t>представља јединствен прилог за све студијске програме.</w:t>
      </w:r>
      <w:r w:rsidRPr="00491993">
        <w:rPr>
          <w:rFonts w:ascii="Times New Roman" w:hAnsi="Times New Roman"/>
          <w:sz w:val="20"/>
          <w:szCs w:val="20"/>
          <w:lang w:val="sr-Cyrl-CS"/>
        </w:rPr>
        <w:t xml:space="preserve"> </w:t>
      </w:r>
    </w:p>
    <w:p w:rsidR="00726A0C" w:rsidRDefault="00726A0C" w:rsidP="00726A0C"/>
    <w:p w:rsidR="00D70021" w:rsidRDefault="00D70021"/>
    <w:sectPr w:rsidR="00D70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1619D4"/>
    <w:multiLevelType w:val="hybridMultilevel"/>
    <w:tmpl w:val="0F5A3CC6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A0C"/>
    <w:rsid w:val="00303B7A"/>
    <w:rsid w:val="00726A0C"/>
    <w:rsid w:val="008F7239"/>
    <w:rsid w:val="00A360A4"/>
    <w:rsid w:val="00AC1139"/>
    <w:rsid w:val="00D7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Cyrl-R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A0C"/>
    <w:pPr>
      <w:spacing w:line="240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3B7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Cyrl-R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A0C"/>
    <w:pPr>
      <w:spacing w:line="240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03B7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2020-06-03T09:27:00Z</dcterms:created>
  <dcterms:modified xsi:type="dcterms:W3CDTF">2020-06-03T10:09:00Z</dcterms:modified>
</cp:coreProperties>
</file>